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25599" w14:textId="77777777" w:rsidR="004E655A" w:rsidRDefault="00000000">
      <w:pPr>
        <w:spacing w:after="60"/>
      </w:pPr>
      <w:r>
        <w:rPr>
          <w:i/>
          <w:iCs/>
          <w:color w:val="595959"/>
          <w:sz w:val="26"/>
          <w:szCs w:val="26"/>
        </w:rPr>
        <w:t>Course Outline</w:t>
      </w:r>
    </w:p>
    <w:p w14:paraId="014A9206" w14:textId="77777777" w:rsidR="004E655A" w:rsidRDefault="00000000">
      <w:pPr>
        <w:keepNext/>
        <w:keepLines/>
        <w:spacing w:after="40"/>
      </w:pPr>
      <w:proofErr w:type="spellStart"/>
      <w:r>
        <w:rPr>
          <w:b/>
          <w:bCs/>
          <w:color w:val="1F3A5F"/>
          <w:sz w:val="40"/>
          <w:szCs w:val="40"/>
        </w:rPr>
        <w:t>หลักสูตร</w:t>
      </w:r>
      <w:proofErr w:type="spellEnd"/>
      <w:r>
        <w:rPr>
          <w:b/>
          <w:bCs/>
          <w:color w:val="1F3A5F"/>
          <w:sz w:val="40"/>
          <w:szCs w:val="40"/>
        </w:rPr>
        <w:t xml:space="preserve">: </w:t>
      </w:r>
      <w:proofErr w:type="spellStart"/>
      <w:r>
        <w:rPr>
          <w:b/>
          <w:bCs/>
          <w:color w:val="1F3A5F"/>
          <w:sz w:val="40"/>
          <w:szCs w:val="40"/>
        </w:rPr>
        <w:t>ผู้บริหารจัดซื้อเชิงกลยุทธ์</w:t>
      </w:r>
      <w:proofErr w:type="spellEnd"/>
      <w:r>
        <w:rPr>
          <w:b/>
          <w:bCs/>
          <w:color w:val="1F3A5F"/>
          <w:sz w:val="40"/>
          <w:szCs w:val="40"/>
        </w:rPr>
        <w:t xml:space="preserve">: </w:t>
      </w:r>
      <w:proofErr w:type="spellStart"/>
      <w:r>
        <w:rPr>
          <w:b/>
          <w:bCs/>
          <w:color w:val="1F3A5F"/>
          <w:sz w:val="40"/>
          <w:szCs w:val="40"/>
        </w:rPr>
        <w:t>กลยุทธ์</w:t>
      </w:r>
      <w:proofErr w:type="spellEnd"/>
      <w:r>
        <w:rPr>
          <w:b/>
          <w:bCs/>
          <w:color w:val="1F3A5F"/>
          <w:sz w:val="40"/>
          <w:szCs w:val="40"/>
        </w:rPr>
        <w:t xml:space="preserve"> </w:t>
      </w:r>
      <w:proofErr w:type="spellStart"/>
      <w:r>
        <w:rPr>
          <w:b/>
          <w:bCs/>
          <w:color w:val="1F3A5F"/>
          <w:sz w:val="40"/>
          <w:szCs w:val="40"/>
        </w:rPr>
        <w:t>ภาวะผู้นำ</w:t>
      </w:r>
      <w:proofErr w:type="spellEnd"/>
      <w:r>
        <w:rPr>
          <w:b/>
          <w:bCs/>
          <w:color w:val="1F3A5F"/>
          <w:sz w:val="40"/>
          <w:szCs w:val="40"/>
        </w:rPr>
        <w:t xml:space="preserve"> </w:t>
      </w:r>
      <w:proofErr w:type="spellStart"/>
      <w:r>
        <w:rPr>
          <w:b/>
          <w:bCs/>
          <w:color w:val="1F3A5F"/>
          <w:sz w:val="40"/>
          <w:szCs w:val="40"/>
        </w:rPr>
        <w:t>และความยืดหยุ่นห่วงโซ่อุปทาน</w:t>
      </w:r>
      <w:proofErr w:type="spellEnd"/>
    </w:p>
    <w:p w14:paraId="24D08F94" w14:textId="77777777" w:rsidR="004E655A" w:rsidRPr="00685C56" w:rsidRDefault="00000000">
      <w:pPr>
        <w:spacing w:after="240"/>
        <w:rPr>
          <w:sz w:val="36"/>
          <w:szCs w:val="36"/>
        </w:rPr>
      </w:pPr>
      <w:r w:rsidRPr="00685C56">
        <w:rPr>
          <w:color w:val="595959"/>
          <w:sz w:val="38"/>
          <w:szCs w:val="38"/>
        </w:rPr>
        <w:t>(Strategic Procurement Executive: Strategy, Leadership and Supply Chain Resilience)</w:t>
      </w:r>
    </w:p>
    <w:p w14:paraId="2B3FC547" w14:textId="53AF0158" w:rsidR="004E655A" w:rsidRDefault="00000000">
      <w:pPr>
        <w:spacing w:after="120" w:line="312" w:lineRule="auto"/>
      </w:pPr>
      <w:r>
        <w:rPr>
          <w:color w:val="000000"/>
          <w:sz w:val="30"/>
          <w:szCs w:val="30"/>
        </w:rPr>
        <w:t>รหัสหลักสูตร: E02-SPE</w:t>
      </w:r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บทนำ</w:t>
      </w:r>
      <w:proofErr w:type="spellEnd"/>
      <w:r>
        <w:rPr>
          <w:b/>
          <w:bCs/>
          <w:color w:val="1F3A5F"/>
          <w:sz w:val="34"/>
          <w:szCs w:val="34"/>
        </w:rPr>
        <w:t xml:space="preserve"> (Introduction)</w:t>
      </w:r>
    </w:p>
    <w:p w14:paraId="37194496" w14:textId="0A0ED871" w:rsidR="004E655A" w:rsidRPr="00B92473" w:rsidRDefault="00000000" w:rsidP="00B92473">
      <w:pPr>
        <w:ind w:firstLine="720"/>
        <w:rPr>
          <w:sz w:val="30"/>
          <w:szCs w:val="30"/>
        </w:rPr>
      </w:pPr>
      <w:r w:rsidRPr="00B92473">
        <w:rPr>
          <w:sz w:val="30"/>
          <w:szCs w:val="30"/>
        </w:rPr>
        <w:t>ผู้บริหารจัดซื้อในวันนี้ถูกคาดหวังมากกว่าการควบคุมราคาต้องตอบให้ได้ว่ากลยุทธ์ของฝ่ายจัดซื้อสอดคล้องกับเป้าหมาย</w:t>
      </w:r>
      <w:r w:rsidR="00B92473">
        <w:rPr>
          <w:rFonts w:hint="cs"/>
          <w:sz w:val="30"/>
          <w:szCs w:val="30"/>
          <w:cs/>
        </w:rPr>
        <w:t xml:space="preserve"> </w:t>
      </w:r>
      <w:proofErr w:type="spellStart"/>
      <w:r w:rsidRPr="00B92473">
        <w:rPr>
          <w:sz w:val="30"/>
          <w:szCs w:val="30"/>
        </w:rPr>
        <w:t>ขององค์กรอย่างไร</w:t>
      </w:r>
      <w:proofErr w:type="spellEnd"/>
      <w:r w:rsidRPr="00B92473">
        <w:rPr>
          <w:sz w:val="30"/>
          <w:szCs w:val="30"/>
        </w:rPr>
        <w:t xml:space="preserve"> </w:t>
      </w:r>
      <w:proofErr w:type="spellStart"/>
      <w:r w:rsidRPr="00B92473">
        <w:rPr>
          <w:sz w:val="30"/>
          <w:szCs w:val="30"/>
        </w:rPr>
        <w:t>ต้องนำทีมให้ทำงานตามเป้าหมายที่ท้าทายได้</w:t>
      </w:r>
      <w:proofErr w:type="spellEnd"/>
      <w:r w:rsidR="00B92473">
        <w:rPr>
          <w:rFonts w:hint="cs"/>
          <w:sz w:val="30"/>
          <w:szCs w:val="30"/>
          <w:cs/>
        </w:rPr>
        <w:t>และต้องตอบคำถามของคณะกรรมการให้ได้ว่าความเสี่ยงในห่วงโซ่อุปทาน</w:t>
      </w:r>
      <w:proofErr w:type="spellStart"/>
      <w:r w:rsidRPr="00B92473">
        <w:rPr>
          <w:sz w:val="30"/>
          <w:szCs w:val="30"/>
        </w:rPr>
        <w:t>มีมูลค่าเท่าใด</w:t>
      </w:r>
      <w:proofErr w:type="spellEnd"/>
      <w:r w:rsidRPr="00B92473">
        <w:rPr>
          <w:sz w:val="30"/>
          <w:szCs w:val="30"/>
        </w:rPr>
        <w:t xml:space="preserve"> </w:t>
      </w:r>
      <w:proofErr w:type="spellStart"/>
      <w:r w:rsidRPr="00B92473">
        <w:rPr>
          <w:sz w:val="30"/>
          <w:szCs w:val="30"/>
        </w:rPr>
        <w:t>และควรจ่ายเพิ่มเท่าไรจึงจะคุ้มกับความเสี่ยงที่ลดลง</w:t>
      </w:r>
      <w:proofErr w:type="spellEnd"/>
    </w:p>
    <w:p w14:paraId="4445D49D" w14:textId="77777777" w:rsidR="004E655A" w:rsidRPr="00B92473" w:rsidRDefault="00000000" w:rsidP="00B92473">
      <w:pPr>
        <w:ind w:firstLine="720"/>
        <w:rPr>
          <w:sz w:val="30"/>
          <w:szCs w:val="30"/>
        </w:rPr>
      </w:pPr>
      <w:r w:rsidRPr="00B92473">
        <w:rPr>
          <w:sz w:val="30"/>
          <w:szCs w:val="30"/>
        </w:rPr>
        <w:t xml:space="preserve">หลักสูตรนี้รวมสองเรื่องที่ผู้บริหารจัดซื้อต้องใช้คู่กันไว้ในวันเดียว </w:t>
      </w:r>
      <w:proofErr w:type="spellStart"/>
      <w:r w:rsidRPr="00B92473">
        <w:rPr>
          <w:sz w:val="30"/>
          <w:szCs w:val="30"/>
        </w:rPr>
        <w:t>คือการวางกลยุทธ์และการนำทีมด้วย</w:t>
      </w:r>
      <w:proofErr w:type="spellEnd"/>
      <w:r w:rsidRPr="00B92473">
        <w:rPr>
          <w:sz w:val="30"/>
          <w:szCs w:val="30"/>
        </w:rPr>
        <w:t xml:space="preserve"> OKRs </w:t>
      </w:r>
      <w:proofErr w:type="spellStart"/>
      <w:r w:rsidRPr="00B92473">
        <w:rPr>
          <w:sz w:val="30"/>
          <w:szCs w:val="30"/>
        </w:rPr>
        <w:t>กับการวิเคราะห์ความเสี่ยงและความยืดหยุ่นของห่วงโซ่อุปทาน</w:t>
      </w:r>
      <w:proofErr w:type="spellEnd"/>
      <w:r w:rsidRPr="00B92473">
        <w:rPr>
          <w:sz w:val="30"/>
          <w:szCs w:val="30"/>
        </w:rPr>
        <w:t xml:space="preserve"> </w:t>
      </w:r>
      <w:proofErr w:type="spellStart"/>
      <w:r w:rsidRPr="00B92473">
        <w:rPr>
          <w:sz w:val="30"/>
          <w:szCs w:val="30"/>
        </w:rPr>
        <w:t>โดยเน้นการแปลงความเสี่ยงให้เป็นตัวเลขที่รายงานผู้บริหารได้</w:t>
      </w:r>
      <w:proofErr w:type="spellEnd"/>
      <w:r w:rsidRPr="00B92473">
        <w:rPr>
          <w:sz w:val="30"/>
          <w:szCs w:val="30"/>
        </w:rPr>
        <w:t xml:space="preserve"> </w:t>
      </w:r>
      <w:proofErr w:type="spellStart"/>
      <w:r w:rsidRPr="00B92473">
        <w:rPr>
          <w:sz w:val="30"/>
          <w:szCs w:val="30"/>
        </w:rPr>
        <w:t>ไม่ใช่การจัดระดับด้วยสีเพียงอย่างเดียว</w:t>
      </w:r>
      <w:proofErr w:type="spellEnd"/>
    </w:p>
    <w:p w14:paraId="45FA6E3D" w14:textId="77777777" w:rsidR="004E655A" w:rsidRPr="00B92473" w:rsidRDefault="00000000" w:rsidP="00B92473">
      <w:pPr>
        <w:ind w:firstLine="720"/>
        <w:rPr>
          <w:sz w:val="30"/>
          <w:szCs w:val="30"/>
        </w:rPr>
      </w:pPr>
      <w:proofErr w:type="spellStart"/>
      <w:r w:rsidRPr="00B92473">
        <w:rPr>
          <w:sz w:val="30"/>
          <w:szCs w:val="30"/>
        </w:rPr>
        <w:t>จุดเด่นของหลักสูตรคือชุดเครื่องมือ</w:t>
      </w:r>
      <w:proofErr w:type="spellEnd"/>
      <w:r w:rsidRPr="00B92473">
        <w:rPr>
          <w:sz w:val="30"/>
          <w:szCs w:val="30"/>
        </w:rPr>
        <w:t xml:space="preserve"> Cost of Disruption </w:t>
      </w:r>
      <w:proofErr w:type="spellStart"/>
      <w:r w:rsidRPr="00B92473">
        <w:rPr>
          <w:sz w:val="30"/>
          <w:szCs w:val="30"/>
        </w:rPr>
        <w:t>และช่องว่างระหว่าง</w:t>
      </w:r>
      <w:proofErr w:type="spellEnd"/>
      <w:r w:rsidRPr="00B92473">
        <w:rPr>
          <w:sz w:val="30"/>
          <w:szCs w:val="30"/>
        </w:rPr>
        <w:t xml:space="preserve"> Time-to-Recover </w:t>
      </w:r>
      <w:proofErr w:type="spellStart"/>
      <w:r w:rsidRPr="00B92473">
        <w:rPr>
          <w:sz w:val="30"/>
          <w:szCs w:val="30"/>
        </w:rPr>
        <w:t>กับ</w:t>
      </w:r>
      <w:proofErr w:type="spellEnd"/>
      <w:r w:rsidRPr="00B92473">
        <w:rPr>
          <w:sz w:val="30"/>
          <w:szCs w:val="30"/>
        </w:rPr>
        <w:t xml:space="preserve"> Time-to-Survive ซึ่งทำให้ผู้บริหารเปรียบเทียบต้นทุนของความยืดหยุ่นกับมูลค่าความเสียหายที่ป้องกันได้ </w:t>
      </w:r>
      <w:proofErr w:type="spellStart"/>
      <w:r w:rsidRPr="00B92473">
        <w:rPr>
          <w:sz w:val="30"/>
          <w:szCs w:val="30"/>
        </w:rPr>
        <w:t>และตัดสินใจบนตัวเลขชุดเดียวกันทั้งองค์กร</w:t>
      </w:r>
      <w:proofErr w:type="spellEnd"/>
    </w:p>
    <w:p w14:paraId="336406E2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วัตถุประสงค์</w:t>
      </w:r>
      <w:proofErr w:type="spellEnd"/>
      <w:r>
        <w:rPr>
          <w:b/>
          <w:bCs/>
          <w:color w:val="1F3A5F"/>
          <w:sz w:val="34"/>
          <w:szCs w:val="34"/>
        </w:rPr>
        <w:t xml:space="preserve"> (Learning Objectives)</w:t>
      </w:r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Strategy Alignment: </w:t>
      </w:r>
      <w:r>
        <w:rPr>
          <w:color w:val="000000"/>
          <w:sz w:val="30"/>
          <w:szCs w:val="30"/>
        </w:rPr>
        <w:t>เพื่อให้สามารถถอดวิสัยทัศน์และเป้าหมายขององค์กรลงสู่กลยุทธ์และแผนงานของฝ่ายจัดซื้อได้อย่างสอดคล้อง</w:t>
      </w:r>
    </w:p>
    <w:p w14:paraId="1F68D51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OKRs and Leadership: </w:t>
      </w:r>
      <w:r>
        <w:rPr>
          <w:color w:val="000000"/>
          <w:sz w:val="30"/>
          <w:szCs w:val="30"/>
        </w:rPr>
        <w:t>เพื่อให้สามารถออกแบบ OKRs ของฝ่ายจัดซื้อ ถ่ายทอดเป้าหมายสู่ทีม และนำ</w:t>
      </w:r>
      <w:proofErr w:type="spellStart"/>
      <w:r>
        <w:rPr>
          <w:color w:val="000000"/>
          <w:sz w:val="30"/>
          <w:szCs w:val="30"/>
        </w:rPr>
        <w:t>ทีมผ่านการเปลี่ยนแปลง</w:t>
      </w:r>
      <w:proofErr w:type="spellEnd"/>
    </w:p>
    <w:p w14:paraId="13C35D53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Risk Quantification: </w:t>
      </w:r>
      <w:r>
        <w:rPr>
          <w:color w:val="000000"/>
          <w:sz w:val="30"/>
          <w:szCs w:val="30"/>
        </w:rPr>
        <w:t>เพื่อให้สามารถวัดความเสี่ยงในห่วงโซ่อุปทานออกมาเป็นตัวเงิน และจัดลำดับความสำคัญ</w:t>
      </w:r>
      <w:proofErr w:type="spellStart"/>
      <w:r>
        <w:rPr>
          <w:color w:val="000000"/>
          <w:sz w:val="30"/>
          <w:szCs w:val="30"/>
        </w:rPr>
        <w:t>ด้วยข้อมูลแทนความรู้สึก</w:t>
      </w:r>
      <w:proofErr w:type="spellEnd"/>
    </w:p>
    <w:p w14:paraId="48DFF2B2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Resilience and Reporting: </w:t>
      </w:r>
      <w:r>
        <w:rPr>
          <w:color w:val="000000"/>
          <w:sz w:val="30"/>
          <w:szCs w:val="30"/>
        </w:rPr>
        <w:t>เพื่อให้สามารถออกแบบกลยุทธ์ความยืดหยุ่นที่คุ้มค่า จัดทำแผนรับมือ และรายงานต่อคณะกรรมการ</w:t>
      </w:r>
      <w:proofErr w:type="spellStart"/>
      <w:r>
        <w:rPr>
          <w:color w:val="000000"/>
          <w:sz w:val="30"/>
          <w:szCs w:val="30"/>
        </w:rPr>
        <w:t>หรือสำนักงานใหญ่ได้</w:t>
      </w:r>
      <w:proofErr w:type="spellEnd"/>
    </w:p>
    <w:p w14:paraId="526E83AF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กลุ่มเป้าหมาย</w:t>
      </w:r>
      <w:proofErr w:type="spellEnd"/>
      <w:r>
        <w:rPr>
          <w:b/>
          <w:bCs/>
          <w:color w:val="1F3A5F"/>
          <w:sz w:val="34"/>
          <w:szCs w:val="34"/>
        </w:rPr>
        <w:t xml:space="preserve"> (Target Participants)</w:t>
      </w:r>
    </w:p>
    <w:p w14:paraId="74BEB56D" w14:textId="77777777" w:rsidR="004E655A" w:rsidRPr="00B92473" w:rsidRDefault="00000000" w:rsidP="00B92473">
      <w:pPr>
        <w:pStyle w:val="ListParagraph"/>
        <w:ind w:firstLine="720"/>
        <w:rPr>
          <w:sz w:val="30"/>
          <w:szCs w:val="30"/>
        </w:rPr>
      </w:pPr>
      <w:r w:rsidRPr="00B92473">
        <w:rPr>
          <w:sz w:val="30"/>
          <w:szCs w:val="30"/>
        </w:rPr>
        <w:t>ผู้บริหารและผู้จัดการฝ่ายจัดซื้อ, Category Manager, Plant Manager, ผู้จัดการฝ่ายซัพพลายเชนและฝ่ายปฏิบัติการ, ผู้บริหารสายการผลิตที่รับผิดชอบความต่อเนื่องของธุรกิจ และผู้ที่กำลังเตรียมขึ้นสู่ระดับบริหาร</w:t>
      </w:r>
    </w:p>
    <w:p w14:paraId="5343032B" w14:textId="08629D5B" w:rsidR="004E655A" w:rsidRPr="00B92473" w:rsidRDefault="00000000" w:rsidP="00B92473">
      <w:pPr>
        <w:pStyle w:val="ListParagraph"/>
        <w:ind w:firstLine="720"/>
        <w:rPr>
          <w:sz w:val="30"/>
          <w:szCs w:val="30"/>
        </w:rPr>
      </w:pPr>
      <w:r w:rsidRPr="00B92473">
        <w:rPr>
          <w:sz w:val="30"/>
          <w:szCs w:val="30"/>
        </w:rPr>
        <w:lastRenderedPageBreak/>
        <w:t>เหมาะกับผู้เรียนจากอุตสาหกรรม: ยานยนต์และชิ้นส่วน, อิเล็กทรอนิกส์และเครื่องใช้ไฟฟ้า, อาหารและเกษตรแปรรูป, สิ่งทอ, บรรจุภัณฑ์, วัสดุก่อสร้าง, รวมถึงธุรกิจบริการและโครงการก่อสร้างที่มีการจัดซื้อจัดจ้างเป็นต้นทุนหลัก</w:t>
      </w:r>
    </w:p>
    <w:p w14:paraId="4CDD6A1A" w14:textId="6117F019" w:rsidR="004E655A" w:rsidRDefault="00000000" w:rsidP="00B92473">
      <w:pPr>
        <w:pStyle w:val="ListParagraph"/>
        <w:ind w:firstLine="720"/>
      </w:pPr>
      <w:r w:rsidRPr="00B92473">
        <w:rPr>
          <w:sz w:val="30"/>
          <w:szCs w:val="30"/>
        </w:rPr>
        <w:t>ความรู้พื้นฐานที่ควรมี:ควรมีประสบการณ์ในงานจัดซื้อหรือซัพพลายเชนระดับหัวหน้างานขึ้นไปผู้เรียนที่นำข้อมูลคู่ค้ารายหลักและตัวเลขกำลังการผลิตขององค์กรติดมาด้วย จะสามารถทำ Workshop ด้วยข้อมูลจริงและนำผลกลับไปเสนอผู้บริหารได้ทันที</w:t>
      </w:r>
    </w:p>
    <w:p w14:paraId="653C4D59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บรรยายโดย</w:t>
      </w:r>
      <w:proofErr w:type="spellEnd"/>
      <w:r>
        <w:rPr>
          <w:b/>
          <w:bCs/>
          <w:color w:val="1F3A5F"/>
          <w:sz w:val="34"/>
          <w:szCs w:val="34"/>
        </w:rPr>
        <w:t xml:space="preserve"> (Lead Instructor)</w:t>
      </w:r>
    </w:p>
    <w:p w14:paraId="72232104" w14:textId="2E012863" w:rsidR="004E655A" w:rsidRPr="00B92473" w:rsidRDefault="00000000">
      <w:pPr>
        <w:spacing w:before="40" w:after="60"/>
        <w:rPr>
          <w:sz w:val="30"/>
          <w:szCs w:val="30"/>
        </w:rPr>
      </w:pPr>
      <w:proofErr w:type="spellStart"/>
      <w:r>
        <w:rPr>
          <w:b/>
          <w:bCs/>
          <w:color w:val="000000"/>
          <w:sz w:val="30"/>
          <w:szCs w:val="30"/>
        </w:rPr>
        <w:t>อ.ศุภโชค</w:t>
      </w:r>
      <w:proofErr w:type="spellEnd"/>
      <w:r>
        <w:rPr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b/>
          <w:bCs/>
          <w:color w:val="000000"/>
          <w:sz w:val="30"/>
          <w:szCs w:val="30"/>
        </w:rPr>
        <w:t>โชติสถิตกุล</w:t>
      </w:r>
      <w:proofErr w:type="spellEnd"/>
      <w:r w:rsidR="00AE2AE0">
        <w:rPr>
          <w:b/>
          <w:bCs/>
          <w:color w:val="000000"/>
          <w:sz w:val="30"/>
          <w:szCs w:val="30"/>
        </w:rPr>
        <w:br/>
      </w:r>
      <w:r w:rsidR="00AE2AE0" w:rsidRPr="00B92473">
        <w:rPr>
          <w:sz w:val="30"/>
          <w:szCs w:val="30"/>
          <w:cs/>
        </w:rPr>
        <w:t xml:space="preserve">ประสบการณ์กว่า </w:t>
      </w:r>
      <w:r w:rsidR="00AE2AE0" w:rsidRPr="00B92473">
        <w:rPr>
          <w:sz w:val="30"/>
          <w:szCs w:val="30"/>
        </w:rPr>
        <w:t xml:space="preserve">20 </w:t>
      </w:r>
      <w:r w:rsidR="00AE2AE0" w:rsidRPr="00B92473">
        <w:rPr>
          <w:sz w:val="30"/>
          <w:szCs w:val="30"/>
          <w:cs/>
        </w:rPr>
        <w:t xml:space="preserve">ปี ในงาน </w:t>
      </w:r>
      <w:r w:rsidR="00AE2AE0" w:rsidRPr="00B92473">
        <w:rPr>
          <w:sz w:val="30"/>
          <w:szCs w:val="30"/>
        </w:rPr>
        <w:t xml:space="preserve">Procurement, Supply Chain </w:t>
      </w:r>
      <w:r w:rsidR="00AE2AE0" w:rsidRPr="00B92473">
        <w:rPr>
          <w:sz w:val="30"/>
          <w:szCs w:val="30"/>
          <w:cs/>
        </w:rPr>
        <w:t xml:space="preserve">และ </w:t>
      </w:r>
      <w:r w:rsidR="00AE2AE0" w:rsidRPr="00B92473">
        <w:rPr>
          <w:sz w:val="30"/>
          <w:szCs w:val="30"/>
        </w:rPr>
        <w:t xml:space="preserve">Business Management </w:t>
      </w:r>
      <w:r w:rsidR="00AE2AE0" w:rsidRPr="00B92473">
        <w:rPr>
          <w:sz w:val="30"/>
          <w:szCs w:val="30"/>
          <w:cs/>
        </w:rPr>
        <w:t xml:space="preserve">ครอบคลุมอุตสาหกรรมการผลิต ก่อสร้าง อาหาร และอสังหาริมทรัพย์ เชี่ยวชาญการพัฒนาระบบจัดซื้อ การบริหารซัพพลายเชน และการประยุกต์ใช้ </w:t>
      </w:r>
      <w:r w:rsidR="00AE2AE0" w:rsidRPr="00B92473">
        <w:rPr>
          <w:sz w:val="30"/>
          <w:szCs w:val="30"/>
        </w:rPr>
        <w:t xml:space="preserve">AI </w:t>
      </w:r>
      <w:r w:rsidR="00AE2AE0" w:rsidRPr="00B92473">
        <w:rPr>
          <w:sz w:val="30"/>
          <w:szCs w:val="30"/>
          <w:cs/>
        </w:rPr>
        <w:t>เพื่อเพิ่มประสิทธิภาพการดำเนินงาน ถ่ายทอดองค์ความรู้จากประสบการณ์การทำงานจริงในภาคธุรกิจ</w:t>
      </w:r>
    </w:p>
    <w:p w14:paraId="55702A5E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รูปแบบการอบรม</w:t>
      </w:r>
      <w:proofErr w:type="spellEnd"/>
      <w:r>
        <w:rPr>
          <w:b/>
          <w:bCs/>
          <w:color w:val="1F3A5F"/>
          <w:sz w:val="34"/>
          <w:szCs w:val="34"/>
        </w:rPr>
        <w:t xml:space="preserve"> (Training Format)</w:t>
      </w:r>
    </w:p>
    <w:p w14:paraId="7AD5FED9" w14:textId="18120FD5" w:rsidR="00B92473" w:rsidRPr="00107463" w:rsidRDefault="00B92473" w:rsidP="00B92473">
      <w:pPr>
        <w:pStyle w:val="ListParagraph"/>
        <w:ind w:firstLine="720"/>
        <w:rPr>
          <w:sz w:val="30"/>
          <w:szCs w:val="30"/>
        </w:rPr>
      </w:pPr>
      <w:proofErr w:type="spellStart"/>
      <w:r w:rsidRPr="00107463">
        <w:rPr>
          <w:sz w:val="30"/>
          <w:szCs w:val="30"/>
        </w:rPr>
        <w:t>จัดอบรมในรูปแบบ</w:t>
      </w:r>
      <w:proofErr w:type="spellEnd"/>
      <w:r w:rsidRPr="00107463">
        <w:rPr>
          <w:sz w:val="30"/>
          <w:szCs w:val="30"/>
        </w:rPr>
        <w:t xml:space="preserve"> Onsite (</w:t>
      </w:r>
      <w:proofErr w:type="spellStart"/>
      <w:r w:rsidRPr="00107463">
        <w:rPr>
          <w:sz w:val="30"/>
          <w:szCs w:val="30"/>
        </w:rPr>
        <w:t>ในห้องอบรม</w:t>
      </w:r>
      <w:proofErr w:type="spellEnd"/>
      <w:r w:rsidRPr="00107463">
        <w:rPr>
          <w:sz w:val="30"/>
          <w:szCs w:val="30"/>
        </w:rPr>
        <w:t xml:space="preserve">) </w:t>
      </w:r>
      <w:proofErr w:type="spellStart"/>
      <w:r w:rsidRPr="00107463">
        <w:rPr>
          <w:sz w:val="30"/>
          <w:szCs w:val="30"/>
        </w:rPr>
        <w:t>เน้นการบรรยาย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กรณีศึกษา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การแลกเปลี่ยนประสบการณ์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และ</w:t>
      </w:r>
      <w:proofErr w:type="spellEnd"/>
      <w:r w:rsidRPr="00107463">
        <w:rPr>
          <w:sz w:val="30"/>
          <w:szCs w:val="30"/>
        </w:rPr>
        <w:t xml:space="preserve"> Workshop </w:t>
      </w:r>
      <w:proofErr w:type="spellStart"/>
      <w:r w:rsidRPr="00107463">
        <w:rPr>
          <w:sz w:val="30"/>
          <w:szCs w:val="30"/>
        </w:rPr>
        <w:t>เพื่อให้สามารถนำไปประยุกต์ใช้ในการทำงานได้จริง</w:t>
      </w:r>
      <w:proofErr w:type="spellEnd"/>
    </w:p>
    <w:p w14:paraId="3184FAAC" w14:textId="7E9EBC92" w:rsidR="004E655A" w:rsidRPr="00B92473" w:rsidRDefault="004E655A" w:rsidP="00685C56">
      <w:pPr>
        <w:spacing w:after="120" w:line="312" w:lineRule="auto"/>
        <w:ind w:firstLine="720"/>
      </w:pPr>
    </w:p>
    <w:p w14:paraId="55916CB4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หัวข้อการสัมมนา</w:t>
      </w:r>
      <w:proofErr w:type="spellEnd"/>
      <w:r>
        <w:rPr>
          <w:b/>
          <w:bCs/>
          <w:color w:val="1F3A5F"/>
          <w:sz w:val="34"/>
          <w:szCs w:val="34"/>
        </w:rPr>
        <w:t xml:space="preserve"> (Course Topics) 09.00 - 16.00 น.</w:t>
      </w:r>
    </w:p>
    <w:p w14:paraId="0631ED25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1: จากวิสัยทัศน์องค์กรสู่กลยุทธ์จัดซื้อ</w:t>
      </w:r>
    </w:p>
    <w:p w14:paraId="4704158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Procurement Evolution: </w:t>
      </w:r>
      <w:r>
        <w:rPr>
          <w:color w:val="000000"/>
          <w:sz w:val="30"/>
          <w:szCs w:val="30"/>
        </w:rPr>
        <w:t xml:space="preserve">การเปลี่ยนผ่านบทบาทจาก Tactical Buying สู่ Strategic Procurement และผู้จัดซื้อในฐานะ Strategic Partner </w:t>
      </w:r>
      <w:proofErr w:type="spellStart"/>
      <w:r>
        <w:rPr>
          <w:color w:val="000000"/>
          <w:sz w:val="30"/>
          <w:szCs w:val="30"/>
        </w:rPr>
        <w:t>ของผู้บริหารระดับสูง</w:t>
      </w:r>
      <w:proofErr w:type="spellEnd"/>
    </w:p>
    <w:p w14:paraId="02BA913F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Strategic Hierarchy: </w:t>
      </w:r>
      <w:r>
        <w:rPr>
          <w:color w:val="000000"/>
          <w:sz w:val="30"/>
          <w:szCs w:val="30"/>
        </w:rPr>
        <w:t xml:space="preserve">ความเข้าใจเชิงลึกในลำดับชั้น Mission, Vision, Goal, Objective, Core Values, Strategy และ Action Plan </w:t>
      </w:r>
      <w:proofErr w:type="spellStart"/>
      <w:r>
        <w:rPr>
          <w:color w:val="000000"/>
          <w:sz w:val="30"/>
          <w:szCs w:val="30"/>
        </w:rPr>
        <w:t>ของทั้งองค์กร</w:t>
      </w:r>
      <w:proofErr w:type="spellEnd"/>
    </w:p>
    <w:p w14:paraId="4A62D003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Procurement Strategy Map: </w:t>
      </w:r>
      <w:r>
        <w:rPr>
          <w:color w:val="000000"/>
          <w:sz w:val="30"/>
          <w:szCs w:val="30"/>
        </w:rPr>
        <w:t>การถอดวิสัยทัศน์องค์กรลงสู่เป้าหมายของฝ่ายจัดซื้อให้สอดคล้องกัน (Cascading)</w:t>
      </w:r>
    </w:p>
    <w:p w14:paraId="4BD2F0C9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Balanced Scorecard: </w:t>
      </w:r>
      <w:r>
        <w:rPr>
          <w:color w:val="000000"/>
          <w:sz w:val="30"/>
          <w:szCs w:val="30"/>
        </w:rPr>
        <w:t xml:space="preserve">การแปลงวิสัยทัศน์เป็น 4 มุมมอง คือ Financial, Customer, Process และ Learning </w:t>
      </w:r>
      <w:proofErr w:type="spellStart"/>
      <w:r>
        <w:rPr>
          <w:color w:val="000000"/>
          <w:sz w:val="30"/>
          <w:szCs w:val="30"/>
        </w:rPr>
        <w:t>สำหรับงานจัดซื้อ</w:t>
      </w:r>
      <w:proofErr w:type="spellEnd"/>
    </w:p>
    <w:p w14:paraId="766C3CDD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Supply Positioning Strategy: </w:t>
      </w:r>
      <w:r>
        <w:rPr>
          <w:color w:val="000000"/>
          <w:sz w:val="30"/>
          <w:szCs w:val="30"/>
        </w:rPr>
        <w:t xml:space="preserve">การวางตำแหน่งเชิงกลยุทธ์ตามมิติของ Spend และ Risk แบ่งสินค้าเป็น 4 กลุ่ม Strategic, Leverage, Bottleneck </w:t>
      </w:r>
      <w:proofErr w:type="spellStart"/>
      <w:r>
        <w:rPr>
          <w:color w:val="000000"/>
          <w:sz w:val="30"/>
          <w:szCs w:val="30"/>
        </w:rPr>
        <w:t>และ</w:t>
      </w:r>
      <w:proofErr w:type="spellEnd"/>
      <w:r>
        <w:rPr>
          <w:color w:val="000000"/>
          <w:sz w:val="30"/>
          <w:szCs w:val="30"/>
        </w:rPr>
        <w:t xml:space="preserve"> Routine</w:t>
      </w:r>
    </w:p>
    <w:p w14:paraId="3167CF11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lastRenderedPageBreak/>
        <w:t>Module 2: OKRs, KPI Cascading และภาวะผู้นำจัดซื้อ</w:t>
      </w:r>
    </w:p>
    <w:p w14:paraId="767F7E7D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OKRs Foundation: </w:t>
      </w:r>
      <w:r>
        <w:rPr>
          <w:color w:val="000000"/>
          <w:sz w:val="30"/>
          <w:szCs w:val="30"/>
        </w:rPr>
        <w:t>หลักการ Objective and Key Results ที่ใช้โดยองค์กรชั้นนำระดับโลก ซึ่งเน้นการตั้งเป้าหมายแบบท้าทาย (Stretch Goal)</w:t>
      </w:r>
    </w:p>
    <w:p w14:paraId="14246DE9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KPIs vs OKRs: </w:t>
      </w:r>
      <w:r>
        <w:rPr>
          <w:color w:val="000000"/>
          <w:sz w:val="30"/>
          <w:szCs w:val="30"/>
        </w:rPr>
        <w:t>ความแตกต่างระหว่างตัวชี้วัดผลงาน (KPIs) กับการตั้งเป้าหมายแบบท้าทาย (OKRs) และ</w:t>
      </w:r>
      <w:proofErr w:type="spellStart"/>
      <w:r>
        <w:rPr>
          <w:color w:val="000000"/>
          <w:sz w:val="30"/>
          <w:szCs w:val="30"/>
        </w:rPr>
        <w:t>เมื่อไรควรใช้อะไร</w:t>
      </w:r>
      <w:proofErr w:type="spellEnd"/>
    </w:p>
    <w:p w14:paraId="549937B8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Cascading and Alignment: </w:t>
      </w:r>
      <w:r>
        <w:rPr>
          <w:color w:val="000000"/>
          <w:sz w:val="30"/>
          <w:szCs w:val="30"/>
        </w:rPr>
        <w:t>เทคนิคการถ่ายทอดเป้าหมายจากบนลงล่าง และการปรับจูนเป้าหมายระหว่างแผนก (Cross-functional Alignment)</w:t>
      </w:r>
    </w:p>
    <w:p w14:paraId="14FB70E7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Procurement OKRs Examples: </w:t>
      </w:r>
      <w:r>
        <w:rPr>
          <w:color w:val="000000"/>
          <w:sz w:val="30"/>
          <w:szCs w:val="30"/>
        </w:rPr>
        <w:t xml:space="preserve">ตัวอย่าง OKRs ที่ใช้จริงในงานจัดซื้อ ทั้งด้าน Cost Reduction, Supplier Performance, Process Efficiency </w:t>
      </w:r>
      <w:proofErr w:type="spellStart"/>
      <w:r>
        <w:rPr>
          <w:color w:val="000000"/>
          <w:sz w:val="30"/>
          <w:szCs w:val="30"/>
        </w:rPr>
        <w:t>และ</w:t>
      </w:r>
      <w:proofErr w:type="spellEnd"/>
      <w:r>
        <w:rPr>
          <w:color w:val="000000"/>
          <w:sz w:val="30"/>
          <w:szCs w:val="30"/>
        </w:rPr>
        <w:t xml:space="preserve"> Sustainability</w:t>
      </w:r>
    </w:p>
    <w:p w14:paraId="0D270658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Quarterly Check-in and Reset: </w:t>
      </w:r>
      <w:r>
        <w:rPr>
          <w:color w:val="000000"/>
          <w:sz w:val="30"/>
          <w:szCs w:val="30"/>
        </w:rPr>
        <w:t>รอบการทบทวนรายไตรมาสและการปรับเป้าหมายเมื่อสถานการณ์เปลี่ยน พร้อมเทคนิค</w:t>
      </w:r>
      <w:proofErr w:type="spellStart"/>
      <w:r>
        <w:rPr>
          <w:color w:val="000000"/>
          <w:sz w:val="30"/>
          <w:szCs w:val="30"/>
        </w:rPr>
        <w:t>การรายงานความคืบหน้า</w:t>
      </w:r>
      <w:proofErr w:type="spellEnd"/>
    </w:p>
    <w:p w14:paraId="2D2B08D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Zone to Win Framework: </w:t>
      </w:r>
      <w:r>
        <w:rPr>
          <w:color w:val="000000"/>
          <w:sz w:val="30"/>
          <w:szCs w:val="30"/>
        </w:rPr>
        <w:t>การบริหาร 4 Zone คือ Performance, Productivity, Incubation และ Transformation เพื่อนำ</w:t>
      </w:r>
      <w:proofErr w:type="spellStart"/>
      <w:r>
        <w:rPr>
          <w:color w:val="000000"/>
          <w:sz w:val="30"/>
          <w:szCs w:val="30"/>
        </w:rPr>
        <w:t>องค์กรผ่านการเปลี่ยนแปลง</w:t>
      </w:r>
      <w:proofErr w:type="spellEnd"/>
    </w:p>
    <w:p w14:paraId="66FE82F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Adversity Quotient (AQ): </w:t>
      </w:r>
      <w:r>
        <w:rPr>
          <w:color w:val="000000"/>
          <w:sz w:val="30"/>
          <w:szCs w:val="30"/>
        </w:rPr>
        <w:t xml:space="preserve">การพัฒนาความสามารถในการเผชิญและฟันฝ่าอุปสรรค ตามมิติ Control, Origin และ Ownership, Reach </w:t>
      </w:r>
      <w:proofErr w:type="spellStart"/>
      <w:r>
        <w:rPr>
          <w:color w:val="000000"/>
          <w:sz w:val="30"/>
          <w:szCs w:val="30"/>
        </w:rPr>
        <w:t>และ</w:t>
      </w:r>
      <w:proofErr w:type="spellEnd"/>
      <w:r>
        <w:rPr>
          <w:color w:val="000000"/>
          <w:sz w:val="30"/>
          <w:szCs w:val="30"/>
        </w:rPr>
        <w:t xml:space="preserve"> Endurance</w:t>
      </w:r>
    </w:p>
    <w:p w14:paraId="4CF2D7F4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3: การวัดความเสี่ยงห่วงโซ่อุปทานเป็นตัวเงิน</w:t>
      </w:r>
    </w:p>
    <w:p w14:paraId="1B539B83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Business Impact Analysis (BIA): </w:t>
      </w:r>
      <w:r>
        <w:rPr>
          <w:color w:val="000000"/>
          <w:sz w:val="30"/>
          <w:szCs w:val="30"/>
        </w:rPr>
        <w:t>หลักการตามมาตรฐาน ISO 22301 ทั้ง MTPD คือระยะเวลาสูงสุดที่องค์กรทนการหยุดชะงักได้ และ RTO คือเป้าหมายเวลาฟื้นตัว ซึ่งเป็นพื้นฐานที่ทำให้ความเสี่ยงกลายเป็นตัว</w:t>
      </w:r>
      <w:proofErr w:type="spellStart"/>
      <w:r>
        <w:rPr>
          <w:color w:val="000000"/>
          <w:sz w:val="30"/>
          <w:szCs w:val="30"/>
        </w:rPr>
        <w:t>เลขที่รายงานผู้บริหารได้</w:t>
      </w:r>
      <w:proofErr w:type="spellEnd"/>
    </w:p>
    <w:p w14:paraId="7181AB5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Cost of Disruption: </w:t>
      </w:r>
      <w:r>
        <w:rPr>
          <w:color w:val="000000"/>
          <w:sz w:val="30"/>
          <w:szCs w:val="30"/>
        </w:rPr>
        <w:t>สูตรคำนวณความเสียหายต่อวันที่สายการผลิตหยุด ทั้ง Lost Margin, Idle Labor, Expedite Cost, ค่าปรับลูกค้า และต้นทุนการสูญเสีย</w:t>
      </w:r>
      <w:proofErr w:type="spellStart"/>
      <w:r>
        <w:rPr>
          <w:color w:val="000000"/>
          <w:sz w:val="30"/>
          <w:szCs w:val="30"/>
        </w:rPr>
        <w:t>ลูกค้าในระยะยาว</w:t>
      </w:r>
      <w:proofErr w:type="spellEnd"/>
    </w:p>
    <w:p w14:paraId="1696C54E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Time-to-Recover (TTR): </w:t>
      </w:r>
      <w:r>
        <w:rPr>
          <w:color w:val="000000"/>
          <w:sz w:val="30"/>
          <w:szCs w:val="30"/>
        </w:rPr>
        <w:t>ระยะเวลาที่คู่ค้าแต่ละรายใช้ฟื้นตัวหลังเกิดเหตุ และวิธีเก็บข้อมูลนี้จากคู่ค้าจริง</w:t>
      </w:r>
      <w:proofErr w:type="spellStart"/>
      <w:r>
        <w:rPr>
          <w:color w:val="000000"/>
          <w:sz w:val="30"/>
          <w:szCs w:val="30"/>
        </w:rPr>
        <w:t>โดยไม่ถูกปฏิเสธ</w:t>
      </w:r>
      <w:proofErr w:type="spellEnd"/>
    </w:p>
    <w:p w14:paraId="311C0AB1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Time-to-Survive (TTS): </w:t>
      </w:r>
      <w:r>
        <w:rPr>
          <w:color w:val="000000"/>
          <w:sz w:val="30"/>
          <w:szCs w:val="30"/>
        </w:rPr>
        <w:t>ระยะเวลาที่โรงงานเดินต่อได้ด้วยสต็อกปัจจุบัน และเหตุผลที่ช่องว่างระหว่าง TTR กับ TTS คือ</w:t>
      </w:r>
      <w:proofErr w:type="spellStart"/>
      <w:r>
        <w:rPr>
          <w:color w:val="000000"/>
          <w:sz w:val="30"/>
          <w:szCs w:val="30"/>
        </w:rPr>
        <w:t>ความเสี่ยงที่แท้จริง</w:t>
      </w:r>
      <w:proofErr w:type="spellEnd"/>
    </w:p>
    <w:p w14:paraId="1BD2FB79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Risk Exposure Scoring: </w:t>
      </w:r>
      <w:r>
        <w:rPr>
          <w:color w:val="000000"/>
          <w:sz w:val="30"/>
          <w:szCs w:val="30"/>
        </w:rPr>
        <w:t>การให้คะแนน Likelihood, Impact และ Detectability เพื่อจัดลำดับคู่ค้าด้วยตัวเลขเดียวที่ใช้ตัดสินใจ</w:t>
      </w:r>
      <w:proofErr w:type="spellStart"/>
      <w:r>
        <w:rPr>
          <w:color w:val="000000"/>
          <w:sz w:val="30"/>
          <w:szCs w:val="30"/>
        </w:rPr>
        <w:t>ในที่ประชุมได้</w:t>
      </w:r>
      <w:proofErr w:type="spellEnd"/>
    </w:p>
    <w:p w14:paraId="08061C4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lastRenderedPageBreak/>
        <w:t xml:space="preserve">Supply Chain Mapping ถึง Tier 2-N: </w:t>
      </w:r>
      <w:r>
        <w:rPr>
          <w:color w:val="000000"/>
          <w:sz w:val="30"/>
          <w:szCs w:val="30"/>
        </w:rPr>
        <w:t>การวิเคราะห์โครงสร้างห่วงโซ่อุปทานให้ลึกกว่าคู่ค้าตรง และเทคนิคการขอข้อมูลซัพพลายเออร์</w:t>
      </w:r>
      <w:proofErr w:type="spellStart"/>
      <w:r>
        <w:rPr>
          <w:color w:val="000000"/>
          <w:sz w:val="30"/>
          <w:szCs w:val="30"/>
        </w:rPr>
        <w:t>ของซัพพลายเออร์</w:t>
      </w:r>
      <w:proofErr w:type="spellEnd"/>
    </w:p>
    <w:p w14:paraId="6D76FEDE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Single Point of Failure และ Hidden Concentration: </w:t>
      </w:r>
      <w:r>
        <w:rPr>
          <w:color w:val="000000"/>
          <w:sz w:val="30"/>
          <w:szCs w:val="30"/>
        </w:rPr>
        <w:t>การระบุจุดที่คู่ค้าเพียงรายเดียวหยุดแล้วสายการผลิตหยุดตามทั้งสาย รวมถึงความเสี่ยงที่มองไม่เห็นบนกระดาษ เช่น คู่ค้าคนละรายแต่ใช้โรงหลอม โรงชุบ หรือ</w:t>
      </w:r>
      <w:proofErr w:type="spellStart"/>
      <w:r>
        <w:rPr>
          <w:color w:val="000000"/>
          <w:sz w:val="30"/>
          <w:szCs w:val="30"/>
        </w:rPr>
        <w:t>ผู้ผลิตแม่พิมพ์รายเดียวกัน</w:t>
      </w:r>
      <w:proofErr w:type="spellEnd"/>
    </w:p>
    <w:p w14:paraId="091C8443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Risk Heat Map ที่ผู้บริหารใช้ได้จริง: </w:t>
      </w:r>
      <w:r>
        <w:rPr>
          <w:color w:val="000000"/>
          <w:sz w:val="30"/>
          <w:szCs w:val="30"/>
        </w:rPr>
        <w:t xml:space="preserve">การจัดทำแผนที่ความเสี่ยงตามมิติ Likelihood และ Impact โดยกำกับมูลค่าความเสียหายเป็นตัวเงินทุกช่อง </w:t>
      </w:r>
      <w:proofErr w:type="spellStart"/>
      <w:r>
        <w:rPr>
          <w:color w:val="000000"/>
          <w:sz w:val="30"/>
          <w:szCs w:val="30"/>
        </w:rPr>
        <w:t>ไม่ใช่เพียงระบุระดับสี</w:t>
      </w:r>
      <w:proofErr w:type="spellEnd"/>
    </w:p>
    <w:p w14:paraId="260AAA53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4: กลยุทธ์ความยืดหยุ่น แผนรับมือ และการรายงานต่อบอร์ด</w:t>
      </w:r>
    </w:p>
    <w:p w14:paraId="0234FD89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Cost vs Resilience Trade-off: </w:t>
      </w:r>
      <w:r>
        <w:rPr>
          <w:color w:val="000000"/>
          <w:sz w:val="30"/>
          <w:szCs w:val="30"/>
        </w:rPr>
        <w:t xml:space="preserve">ความยืดหยุ่นมีราคาเสมอ หลักการคิดว่าควรจ่ายเพิ่มเท่าใดจึงคุ้ม และเหตุผลที่การตัดสินใจนี้เป็นอำนาจของผู้บริหาร </w:t>
      </w:r>
      <w:proofErr w:type="spellStart"/>
      <w:r>
        <w:rPr>
          <w:color w:val="000000"/>
          <w:sz w:val="30"/>
          <w:szCs w:val="30"/>
        </w:rPr>
        <w:t>ไม่ใช่ของนักจัดซื้อ</w:t>
      </w:r>
      <w:proofErr w:type="spellEnd"/>
    </w:p>
    <w:p w14:paraId="45EF19E8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Multi-Sourcing และ Geographic Diversification: </w:t>
      </w:r>
      <w:r>
        <w:rPr>
          <w:color w:val="000000"/>
          <w:sz w:val="30"/>
          <w:szCs w:val="30"/>
        </w:rPr>
        <w:t>การกระจายแหล่งจัดหาแบบ Dual Source 50/50, Lead-Lag 70/30 และ Backup Qualified รวมถึงการกระจายเชิงภูมิศาสตร์แบบ China+1, Nearshoring และ Friendshoring พร้อมต้นทุนและข้อแลกเปลี่ยน</w:t>
      </w:r>
      <w:proofErr w:type="spellStart"/>
      <w:r>
        <w:rPr>
          <w:color w:val="000000"/>
          <w:sz w:val="30"/>
          <w:szCs w:val="30"/>
        </w:rPr>
        <w:t>ของแต่ละรูปแบบ</w:t>
      </w:r>
      <w:proofErr w:type="spellEnd"/>
    </w:p>
    <w:p w14:paraId="00C1A869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Buffer Strategy: </w:t>
      </w:r>
      <w:r>
        <w:rPr>
          <w:color w:val="000000"/>
          <w:sz w:val="30"/>
          <w:szCs w:val="30"/>
        </w:rPr>
        <w:t xml:space="preserve">การวางสต็อก Safety Stock, Strategic Reserve และ Vendor-Managed Inventory โดยคำนวณจำนวนวันที่ต้องกันสำรองจากช่องว่างระหว่าง TTR </w:t>
      </w:r>
      <w:proofErr w:type="spellStart"/>
      <w:r>
        <w:rPr>
          <w:color w:val="000000"/>
          <w:sz w:val="30"/>
          <w:szCs w:val="30"/>
        </w:rPr>
        <w:t>กับ</w:t>
      </w:r>
      <w:proofErr w:type="spellEnd"/>
      <w:r>
        <w:rPr>
          <w:color w:val="000000"/>
          <w:sz w:val="30"/>
          <w:szCs w:val="30"/>
        </w:rPr>
        <w:t xml:space="preserve"> TTS </w:t>
      </w:r>
      <w:proofErr w:type="spellStart"/>
      <w:r>
        <w:rPr>
          <w:color w:val="000000"/>
          <w:sz w:val="30"/>
          <w:szCs w:val="30"/>
        </w:rPr>
        <w:t>โดยตรง</w:t>
      </w:r>
      <w:proofErr w:type="spellEnd"/>
    </w:p>
    <w:p w14:paraId="2066876F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Long-Term Agreement และ Capacity Booking: </w:t>
      </w:r>
      <w:r>
        <w:rPr>
          <w:color w:val="000000"/>
          <w:sz w:val="30"/>
          <w:szCs w:val="30"/>
        </w:rPr>
        <w:t xml:space="preserve">การทำสัญญาระยะยาวและการจองกำลังการผลิตเพื่อล็อกซัพพลายในยามขาดแคลน ทั้งเงื่อนไข Take or Pay </w:t>
      </w:r>
      <w:proofErr w:type="spellStart"/>
      <w:r>
        <w:rPr>
          <w:color w:val="000000"/>
          <w:sz w:val="30"/>
          <w:szCs w:val="30"/>
        </w:rPr>
        <w:t>และ</w:t>
      </w:r>
      <w:proofErr w:type="spellEnd"/>
      <w:r>
        <w:rPr>
          <w:color w:val="000000"/>
          <w:sz w:val="30"/>
          <w:szCs w:val="30"/>
        </w:rPr>
        <w:t xml:space="preserve"> Volume Commitment</w:t>
      </w:r>
    </w:p>
    <w:p w14:paraId="1866652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Shortage, Allocation และ Force Majeure Playbook: </w:t>
      </w:r>
      <w:r>
        <w:rPr>
          <w:color w:val="000000"/>
          <w:sz w:val="30"/>
          <w:szCs w:val="30"/>
        </w:rPr>
        <w:t>การซื้อล็อตสุดท้ายก่อนเลิกผลิต การเจรจาโควตาเมื่อคู่ค้าจัดสรรของ การซื้อในตลาดจร และการตรวจสอบว่าข้ออ้างเหตุสุดวิสัยของคู่</w:t>
      </w:r>
      <w:proofErr w:type="spellStart"/>
      <w:r>
        <w:rPr>
          <w:color w:val="000000"/>
          <w:sz w:val="30"/>
          <w:szCs w:val="30"/>
        </w:rPr>
        <w:t>ค้าฟังขึ้นหรือไม่</w:t>
      </w:r>
      <w:proofErr w:type="spellEnd"/>
    </w:p>
    <w:p w14:paraId="2B432E2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Supplier Failure Response: </w:t>
      </w:r>
      <w:r>
        <w:rPr>
          <w:color w:val="000000"/>
          <w:sz w:val="30"/>
          <w:szCs w:val="30"/>
        </w:rPr>
        <w:t>การกู้แม่พิมพ์ เครื่องมือ และแบบเมื่อคู่ค้าหยุดกิจการ สิทธิในทรัพย์สินทางปัญญา และระยะเวลาจริงในการย้ายสายการผลิต</w:t>
      </w:r>
      <w:proofErr w:type="spellStart"/>
      <w:r>
        <w:rPr>
          <w:color w:val="000000"/>
          <w:sz w:val="30"/>
          <w:szCs w:val="30"/>
        </w:rPr>
        <w:t>ไปผู้ผลิตรายใหม่</w:t>
      </w:r>
      <w:proofErr w:type="spellEnd"/>
    </w:p>
    <w:p w14:paraId="4B4E20A3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Crisis Command and Decision Rights: </w:t>
      </w:r>
      <w:r>
        <w:rPr>
          <w:color w:val="000000"/>
          <w:sz w:val="30"/>
          <w:szCs w:val="30"/>
        </w:rPr>
        <w:t>การกำหนดล่วงหน้าว่าใครมีอำนาจตัดสินใจเรื่องใดในวงเงินเท่าใดในยามวิกฤต แทนการมาตกลง</w:t>
      </w:r>
      <w:proofErr w:type="spellStart"/>
      <w:r>
        <w:rPr>
          <w:color w:val="000000"/>
          <w:sz w:val="30"/>
          <w:szCs w:val="30"/>
        </w:rPr>
        <w:t>กันตอนเกิดเหตุ</w:t>
      </w:r>
      <w:proofErr w:type="spellEnd"/>
    </w:p>
    <w:p w14:paraId="0F46F19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Executive Reporting และ Data Story Telling: </w:t>
      </w:r>
      <w:r>
        <w:rPr>
          <w:color w:val="000000"/>
          <w:sz w:val="30"/>
          <w:szCs w:val="30"/>
        </w:rPr>
        <w:t>การออกแบบ Dashboard ที่ผู้บริหารอ่านเข้าใจใน 30 วินาที และเทคนิคการนำเสนอข้อมูลในรูปแบบเรื่องเล่าที่</w:t>
      </w:r>
      <w:proofErr w:type="spellStart"/>
      <w:r>
        <w:rPr>
          <w:color w:val="000000"/>
          <w:sz w:val="30"/>
          <w:szCs w:val="30"/>
        </w:rPr>
        <w:t>มีพลังโน้มน้าว</w:t>
      </w:r>
      <w:proofErr w:type="spellEnd"/>
    </w:p>
    <w:p w14:paraId="2FAEB38D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lastRenderedPageBreak/>
        <w:t xml:space="preserve">Board and HQ Reporting: </w:t>
      </w:r>
      <w:r>
        <w:rPr>
          <w:color w:val="000000"/>
          <w:sz w:val="30"/>
          <w:szCs w:val="30"/>
        </w:rPr>
        <w:t>การจัดทำรายงานความเสี่ยงห่วงโซ่อุปทานความยาว 1 หน้าที่ส่งขึ้นคณะกรรมการหรือสำนักงานใหญ่ได้ ทั้งโครงสร้างรายงาน ตัวเลขที่ต้องมี และวิธี</w:t>
      </w:r>
      <w:proofErr w:type="spellStart"/>
      <w:r>
        <w:rPr>
          <w:color w:val="000000"/>
          <w:sz w:val="30"/>
          <w:szCs w:val="30"/>
        </w:rPr>
        <w:t>เสนอทางเลือกพร้อมราคา</w:t>
      </w:r>
      <w:proofErr w:type="spellEnd"/>
    </w:p>
    <w:p w14:paraId="5C2AFA91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กิจกรรมในหลักสูตร</w:t>
      </w:r>
      <w:proofErr w:type="spellEnd"/>
      <w:r>
        <w:rPr>
          <w:b/>
          <w:bCs/>
          <w:color w:val="1F3A5F"/>
          <w:sz w:val="34"/>
          <w:szCs w:val="34"/>
        </w:rPr>
        <w:t xml:space="preserve"> (Workshop)</w:t>
      </w:r>
    </w:p>
    <w:p w14:paraId="77DB7E6A" w14:textId="77777777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หลักสูตรนี้ออกแบบให้มี</w:t>
      </w:r>
      <w:proofErr w:type="spellEnd"/>
      <w:r>
        <w:rPr>
          <w:color w:val="000000"/>
          <w:sz w:val="30"/>
          <w:szCs w:val="30"/>
        </w:rPr>
        <w:t xml:space="preserve"> Workshop </w:t>
      </w:r>
      <w:proofErr w:type="spellStart"/>
      <w:r>
        <w:rPr>
          <w:color w:val="000000"/>
          <w:sz w:val="30"/>
          <w:szCs w:val="30"/>
        </w:rPr>
        <w:t>เชิงปฏิบัติการ</w:t>
      </w:r>
      <w:proofErr w:type="spellEnd"/>
      <w:r>
        <w:rPr>
          <w:color w:val="000000"/>
          <w:sz w:val="30"/>
          <w:szCs w:val="30"/>
        </w:rPr>
        <w:t xml:space="preserve"> 4 </w:t>
      </w:r>
      <w:proofErr w:type="spellStart"/>
      <w:r>
        <w:rPr>
          <w:color w:val="000000"/>
          <w:sz w:val="30"/>
          <w:szCs w:val="30"/>
        </w:rPr>
        <w:t>กิจกรรมตลอดวัน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ครอบคลุม</w:t>
      </w:r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Strategy Map and OKRs Drafting (ถอดเป้าหมายองค์กรลงสู่ OKRs ของฝ่ายจัดซื้อ)</w:t>
      </w:r>
    </w:p>
    <w:p w14:paraId="3A8D9E5F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Cost of Disruption Calculation (คำนวณความเสียหายต่อวันของสายการผลิตตนเอง)</w:t>
      </w:r>
    </w:p>
    <w:p w14:paraId="660171B5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TTR-TTS Gap Analysis และ Risk Heat Map ติดมูลค่า (หาช่องว่างของคู่ค้า 5 รายหลัก)</w:t>
      </w:r>
    </w:p>
    <w:p w14:paraId="60742CBB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Executive Risk Report 1 หน้า (เขียนรายงานที่นำกลับไปเสนอผู้บริหารได้ทันที)</w:t>
      </w:r>
    </w:p>
    <w:p w14:paraId="79080C69" w14:textId="217310A7" w:rsidR="004E655A" w:rsidRDefault="004E655A">
      <w:pPr>
        <w:jc w:val="center"/>
      </w:pPr>
    </w:p>
    <w:p w14:paraId="63E4E510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ประโยชน์ที่ผู้เข้าอบรมจะได้รับ</w:t>
      </w:r>
      <w:proofErr w:type="spellEnd"/>
      <w:r>
        <w:rPr>
          <w:b/>
          <w:bCs/>
          <w:color w:val="1F3A5F"/>
          <w:sz w:val="34"/>
          <w:szCs w:val="34"/>
        </w:rPr>
        <w:t xml:space="preserve"> (Key Benefits)</w:t>
      </w:r>
    </w:p>
    <w:p w14:paraId="5F347C90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 xml:space="preserve">ถอดกลยุทธ์องค์กรลงสู่แผนงานและ OKRs </w:t>
      </w:r>
      <w:proofErr w:type="spellStart"/>
      <w:r w:rsidRPr="00AE2AE0">
        <w:rPr>
          <w:color w:val="000000"/>
          <w:sz w:val="30"/>
          <w:szCs w:val="30"/>
        </w:rPr>
        <w:t>ของฝ่ายจัดซื้อได้</w:t>
      </w:r>
      <w:proofErr w:type="spellEnd"/>
    </w:p>
    <w:p w14:paraId="7B9B93C6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แปลงความเสี่ยงในห่วงโซ่อุปทานให้เป็นตัวเงิน</w:t>
      </w:r>
      <w:proofErr w:type="spellStart"/>
      <w:r w:rsidRPr="00AE2AE0">
        <w:rPr>
          <w:color w:val="000000"/>
          <w:sz w:val="30"/>
          <w:szCs w:val="30"/>
        </w:rPr>
        <w:t>ที่ใช้ตัดสินใจได้</w:t>
      </w:r>
      <w:proofErr w:type="spellEnd"/>
    </w:p>
    <w:p w14:paraId="1A810F9D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เลือกกลยุทธ์ความยืดหยุ่นที่คุ้มค่ากับ</w:t>
      </w:r>
      <w:proofErr w:type="spellStart"/>
      <w:r w:rsidRPr="00AE2AE0">
        <w:rPr>
          <w:color w:val="000000"/>
          <w:sz w:val="30"/>
          <w:szCs w:val="30"/>
        </w:rPr>
        <w:t>ต้นทุนที่จ่ายเพิ่ม</w:t>
      </w:r>
      <w:proofErr w:type="spellEnd"/>
    </w:p>
    <w:p w14:paraId="6440B71A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จัดทำรายงานความเสี่ยง 1 หน้าเสนอคณะกรรมการหรือสำนักงานใหญ่ได้</w:t>
      </w:r>
    </w:p>
    <w:sectPr w:rsidR="00AE2AE0" w:rsidRPr="00AE2AE0" w:rsidSect="00685C56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770F2" w14:textId="77777777" w:rsidR="004D742F" w:rsidRDefault="004D742F">
      <w:r>
        <w:separator/>
      </w:r>
    </w:p>
  </w:endnote>
  <w:endnote w:type="continuationSeparator" w:id="0">
    <w:p w14:paraId="385FE5DC" w14:textId="77777777" w:rsidR="004D742F" w:rsidRDefault="004D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Cord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4CA8B" w14:textId="6E00F546" w:rsidR="00685C56" w:rsidRDefault="00685C56" w:rsidP="00685C56">
    <w:pPr>
      <w:pStyle w:val="Footer"/>
      <w:jc w:val="center"/>
    </w:pPr>
    <w:r w:rsidRPr="00BB3F0E">
      <w:t>www.sourceexpert.co.th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1D42D" w14:textId="77777777" w:rsidR="004D742F" w:rsidRDefault="004D742F">
      <w:r>
        <w:separator/>
      </w:r>
    </w:p>
  </w:footnote>
  <w:footnote w:type="continuationSeparator" w:id="0">
    <w:p w14:paraId="1B7BE6FB" w14:textId="77777777" w:rsidR="004D742F" w:rsidRDefault="004D7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BD01" w14:textId="77777777" w:rsidR="004E655A" w:rsidRDefault="00000000">
    <w:pPr>
      <w:jc w:val="right"/>
    </w:pPr>
    <w:r>
      <w:rPr>
        <w:noProof/>
      </w:rPr>
      <w:drawing>
        <wp:inline distT="0" distB="0" distL="0" distR="0" wp14:anchorId="346FB6CD" wp14:editId="3CC49D95">
          <wp:extent cx="1238400" cy="760528"/>
          <wp:effectExtent l="0" t="0" r="0" b="0"/>
          <wp:docPr id="1" name="logo" descr="Logo" title="Source eXpert Thail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400" cy="760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F27B5"/>
    <w:multiLevelType w:val="hybridMultilevel"/>
    <w:tmpl w:val="5C9A11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D1448"/>
    <w:multiLevelType w:val="hybridMultilevel"/>
    <w:tmpl w:val="6370324C"/>
    <w:lvl w:ilvl="0" w:tplc="DB549E92">
      <w:start w:val="1"/>
      <w:numFmt w:val="bullet"/>
      <w:lvlText w:val="●"/>
      <w:lvlJc w:val="left"/>
      <w:pPr>
        <w:ind w:left="720" w:hanging="360"/>
      </w:pPr>
    </w:lvl>
    <w:lvl w:ilvl="1" w:tplc="D71CDE1A">
      <w:start w:val="1"/>
      <w:numFmt w:val="bullet"/>
      <w:lvlText w:val="○"/>
      <w:lvlJc w:val="left"/>
      <w:pPr>
        <w:ind w:left="1440" w:hanging="360"/>
      </w:pPr>
    </w:lvl>
    <w:lvl w:ilvl="2" w:tplc="35322C24">
      <w:start w:val="1"/>
      <w:numFmt w:val="bullet"/>
      <w:lvlText w:val="■"/>
      <w:lvlJc w:val="left"/>
      <w:pPr>
        <w:ind w:left="2160" w:hanging="360"/>
      </w:pPr>
    </w:lvl>
    <w:lvl w:ilvl="3" w:tplc="BB3C68C2">
      <w:start w:val="1"/>
      <w:numFmt w:val="bullet"/>
      <w:lvlText w:val="●"/>
      <w:lvlJc w:val="left"/>
      <w:pPr>
        <w:ind w:left="2880" w:hanging="360"/>
      </w:pPr>
    </w:lvl>
    <w:lvl w:ilvl="4" w:tplc="461E6102">
      <w:start w:val="1"/>
      <w:numFmt w:val="bullet"/>
      <w:lvlText w:val="○"/>
      <w:lvlJc w:val="left"/>
      <w:pPr>
        <w:ind w:left="3600" w:hanging="360"/>
      </w:pPr>
    </w:lvl>
    <w:lvl w:ilvl="5" w:tplc="00CE5C00">
      <w:start w:val="1"/>
      <w:numFmt w:val="bullet"/>
      <w:lvlText w:val="■"/>
      <w:lvlJc w:val="left"/>
      <w:pPr>
        <w:ind w:left="4320" w:hanging="360"/>
      </w:pPr>
    </w:lvl>
    <w:lvl w:ilvl="6" w:tplc="CB3A2F0E">
      <w:start w:val="1"/>
      <w:numFmt w:val="bullet"/>
      <w:lvlText w:val="●"/>
      <w:lvlJc w:val="left"/>
      <w:pPr>
        <w:ind w:left="5040" w:hanging="360"/>
      </w:pPr>
    </w:lvl>
    <w:lvl w:ilvl="7" w:tplc="7B260156">
      <w:start w:val="1"/>
      <w:numFmt w:val="bullet"/>
      <w:lvlText w:val="●"/>
      <w:lvlJc w:val="left"/>
      <w:pPr>
        <w:ind w:left="5760" w:hanging="360"/>
      </w:pPr>
    </w:lvl>
    <w:lvl w:ilvl="8" w:tplc="B2D6531A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5D2C1D43"/>
    <w:multiLevelType w:val="hybridMultilevel"/>
    <w:tmpl w:val="9A10CAC0"/>
    <w:lvl w:ilvl="0" w:tplc="D3C2503C">
      <w:start w:val="1"/>
      <w:numFmt w:val="bullet"/>
      <w:lvlText w:val="•"/>
      <w:lvlJc w:val="left"/>
      <w:pPr>
        <w:ind w:left="720" w:hanging="360"/>
      </w:pPr>
    </w:lvl>
    <w:lvl w:ilvl="1" w:tplc="67BC26F8">
      <w:numFmt w:val="decimal"/>
      <w:lvlText w:val=""/>
      <w:lvlJc w:val="left"/>
    </w:lvl>
    <w:lvl w:ilvl="2" w:tplc="77A42ED2">
      <w:numFmt w:val="decimal"/>
      <w:lvlText w:val=""/>
      <w:lvlJc w:val="left"/>
    </w:lvl>
    <w:lvl w:ilvl="3" w:tplc="A448E368">
      <w:numFmt w:val="decimal"/>
      <w:lvlText w:val=""/>
      <w:lvlJc w:val="left"/>
    </w:lvl>
    <w:lvl w:ilvl="4" w:tplc="C0E48814">
      <w:numFmt w:val="decimal"/>
      <w:lvlText w:val=""/>
      <w:lvlJc w:val="left"/>
    </w:lvl>
    <w:lvl w:ilvl="5" w:tplc="0DB2E9FE">
      <w:numFmt w:val="decimal"/>
      <w:lvlText w:val=""/>
      <w:lvlJc w:val="left"/>
    </w:lvl>
    <w:lvl w:ilvl="6" w:tplc="544679A8">
      <w:numFmt w:val="decimal"/>
      <w:lvlText w:val=""/>
      <w:lvlJc w:val="left"/>
    </w:lvl>
    <w:lvl w:ilvl="7" w:tplc="96688DF8">
      <w:numFmt w:val="decimal"/>
      <w:lvlText w:val=""/>
      <w:lvlJc w:val="left"/>
    </w:lvl>
    <w:lvl w:ilvl="8" w:tplc="FCBA1A78">
      <w:numFmt w:val="decimal"/>
      <w:lvlText w:val=""/>
      <w:lvlJc w:val="left"/>
    </w:lvl>
  </w:abstractNum>
  <w:abstractNum w:abstractNumId="3" w15:restartNumberingAfterBreak="0">
    <w:nsid w:val="73280B90"/>
    <w:multiLevelType w:val="hybridMultilevel"/>
    <w:tmpl w:val="FE4AF0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267362">
    <w:abstractNumId w:val="1"/>
    <w:lvlOverride w:ilvl="0">
      <w:startOverride w:val="1"/>
    </w:lvlOverride>
  </w:num>
  <w:num w:numId="2" w16cid:durableId="1990134516">
    <w:abstractNumId w:val="2"/>
    <w:lvlOverride w:ilvl="0">
      <w:startOverride w:val="1"/>
    </w:lvlOverride>
  </w:num>
  <w:num w:numId="3" w16cid:durableId="290330553">
    <w:abstractNumId w:val="0"/>
  </w:num>
  <w:num w:numId="4" w16cid:durableId="9432638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55A"/>
    <w:rsid w:val="002E3470"/>
    <w:rsid w:val="003A2008"/>
    <w:rsid w:val="004D742F"/>
    <w:rsid w:val="004E655A"/>
    <w:rsid w:val="00685C56"/>
    <w:rsid w:val="00782008"/>
    <w:rsid w:val="00AE2AE0"/>
    <w:rsid w:val="00B92473"/>
    <w:rsid w:val="00CE1008"/>
    <w:rsid w:val="00FC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AA306"/>
  <w15:docId w15:val="{5F1DA741-0FAF-4C7E-9C06-D98CBB03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 New" w:eastAsia="TH Sarabun New" w:hAnsi="TH Sarabun New" w:cs="TH Sarabun New"/>
        <w:sz w:val="28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685C56"/>
    <w:rPr>
      <w:rFonts w:cs="Angsana New"/>
      <w:szCs w:val="35"/>
    </w:rPr>
  </w:style>
  <w:style w:type="paragraph" w:styleId="Footer">
    <w:name w:val="footer"/>
    <w:basedOn w:val="Normal"/>
    <w:link w:val="Foot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685C56"/>
    <w:rPr>
      <w:rFonts w:cs="Angsana New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วิศวกรรมต้นทุนและวิศวกรรมคุณค่าเชิงกลยุทธ์</vt:lpstr>
    </vt:vector>
  </TitlesOfParts>
  <Company/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วิศวกรรมต้นทุนและวิศวกรรมคุณค่าเชิงกลยุทธ์</dc:title>
  <dc:creator>Source eXpert (Thailand)</dc:creator>
  <dc:description>Strategic Cost Engineering and Value Engineering</dc:description>
  <cp:lastModifiedBy>Supachok Chodsatitkul</cp:lastModifiedBy>
  <cp:revision>4</cp:revision>
  <dcterms:created xsi:type="dcterms:W3CDTF">2026-05-10T13:47:00Z</dcterms:created>
  <dcterms:modified xsi:type="dcterms:W3CDTF">2026-08-25T14:36:00Z</dcterms:modified>
</cp:coreProperties>
</file>